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p>
    <w:p>
      <w:pPr>
        <w:keepNext w:val="0"/>
        <w:keepLines w:val="0"/>
        <w:pageBreakBefore w:val="0"/>
        <w:widowControl w:val="0"/>
        <w:kinsoku/>
        <w:wordWrap/>
        <w:overflowPunct w:val="0"/>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市中医院新院区项目配电箱元器件</w:t>
      </w:r>
    </w:p>
    <w:p>
      <w:pPr>
        <w:keepNext w:val="0"/>
        <w:keepLines w:val="0"/>
        <w:pageBreakBefore w:val="0"/>
        <w:widowControl w:val="0"/>
        <w:kinsoku/>
        <w:wordWrap/>
        <w:overflowPunct w:val="0"/>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专题会议纪要</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lang w:val="en-US" w:eastAsia="zh-CN"/>
        </w:rPr>
      </w:pPr>
      <w:r>
        <w:rPr>
          <w:rFonts w:hint="eastAsia"/>
          <w:lang w:val="en-US" w:eastAsia="zh-CN"/>
        </w:rPr>
        <w:t>2023年11月30日上午，市代建中心党组成员、副主任黄金泽同志在市代建中心二楼会议主持召开市茂名市中医院新院区项目配电箱元器件专题会议，纪要如下：</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lang w:val="en-US" w:eastAsia="zh-CN"/>
        </w:rPr>
      </w:pPr>
      <w:r>
        <w:rPr>
          <w:rFonts w:hint="eastAsia"/>
          <w:lang w:val="en-US" w:eastAsia="zh-CN"/>
        </w:rPr>
        <w:t>会议听取了市中医院关于配电箱元器件使用需求有关情况和施工、造价咨询等单位关于配电箱元器件市场询价有关情况的汇报，并就此进行了研究。</w:t>
      </w:r>
      <w:r>
        <w:rPr>
          <w:rFonts w:hint="eastAsia"/>
          <w:b/>
          <w:bCs/>
          <w:lang w:val="en-US" w:eastAsia="zh-CN"/>
        </w:rPr>
        <w:t>市中医院提出</w:t>
      </w:r>
      <w:r>
        <w:rPr>
          <w:rFonts w:hint="eastAsia"/>
          <w:lang w:val="en-US" w:eastAsia="zh-CN"/>
        </w:rPr>
        <w:t>，市中医院新院区是按三级甲等综合医院标准建设的重点民生工程，用电可靠、安全至关重要，关乎患者生命安全，所使用的配电箱元器件材料等级有所提高，应选用质量安全有保障、可靠性更高且有相关医院应用案例的合格产品。</w:t>
      </w:r>
    </w:p>
    <w:p>
      <w:pPr>
        <w:keepNext w:val="0"/>
        <w:keepLines w:val="0"/>
        <w:pageBreakBefore w:val="0"/>
        <w:widowControl w:val="0"/>
        <w:kinsoku/>
        <w:wordWrap/>
        <w:overflowPunct w:val="0"/>
        <w:topLinePunct w:val="0"/>
        <w:autoSpaceDE/>
        <w:autoSpaceDN/>
        <w:bidi w:val="0"/>
        <w:adjustRightInd/>
        <w:snapToGrid/>
        <w:spacing w:line="590" w:lineRule="exact"/>
        <w:ind w:firstLine="643" w:firstLineChars="200"/>
        <w:textAlignment w:val="auto"/>
        <w:rPr>
          <w:rFonts w:hint="default"/>
          <w:lang w:val="en-US" w:eastAsia="zh-CN"/>
        </w:rPr>
      </w:pPr>
      <w:r>
        <w:rPr>
          <w:rFonts w:hint="eastAsia"/>
          <w:b/>
          <w:bCs/>
          <w:lang w:val="en-US" w:eastAsia="zh-CN"/>
        </w:rPr>
        <w:t>会议决定：</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eastAsia="仿宋_GB2312"/>
          <w:lang w:val="en-US" w:eastAsia="zh-CN"/>
        </w:rPr>
      </w:pPr>
      <w:r>
        <w:rPr>
          <w:rFonts w:hint="eastAsia"/>
          <w:lang w:val="en-US" w:eastAsia="zh-CN"/>
        </w:rPr>
        <w:t>在明确项目暂列金额使用情况和确保建安工程费不突破中标合同价的前提下，原则同意市中医院关于提高配电箱元器件材料等级的需求。市代建中心、市中医院及各参建单位应严格按照《广东省建设工程主要材料询价规则（试行）》（粤标定函〔2022〕164号）和市财政局《关于明确提供材料设备价格确认文件的通知》（茂财投审〔2023〕5号）有关要求，组织正式询价</w:t>
      </w:r>
      <w:bookmarkStart w:id="0" w:name="_GoBack"/>
      <w:bookmarkEnd w:id="0"/>
      <w:r>
        <w:rPr>
          <w:rFonts w:hint="eastAsia"/>
          <w:lang w:val="en-US" w:eastAsia="zh-CN"/>
        </w:rPr>
        <w:t>后确定配电箱元器件材料调整价格。设计、监理、造价咨询、施工等单位应按照“造价平衡”原则进一步进行设计优化，确保工程整体造价可控。</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eastAsia="仿宋_GB2312"/>
          <w:lang w:val="en-US" w:eastAsia="zh-CN"/>
        </w:rPr>
      </w:pPr>
      <w:r>
        <w:rPr>
          <w:rFonts w:hint="eastAsia" w:ascii="黑体" w:hAnsi="黑体" w:eastAsia="黑体" w:cs="黑体"/>
          <w:lang w:val="en-US" w:eastAsia="zh-CN"/>
        </w:rPr>
        <w:t>参加会议人员：</w:t>
      </w:r>
      <w:r>
        <w:rPr>
          <w:rFonts w:hint="eastAsia"/>
          <w:lang w:val="en-US" w:eastAsia="zh-CN"/>
        </w:rPr>
        <w:t>市代建中心黄金泽、黎钧华、杨江伟，市医疗卫生补短板专班陈剑平，市中医院李荣辉 ，广东华方工程设计有限公司（设计）刘川、罗更生，广东安邦项目管理有限公司（监理）吴振雄，中量工程咨询有限公司（造价咨询）林向红，广东省建筑工程集团有限公司（施工）温汉明、栾欣。</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p>
    <w:p>
      <w:pPr>
        <w:keepNext w:val="0"/>
        <w:keepLines w:val="0"/>
        <w:pageBreakBefore w:val="0"/>
        <w:widowControl w:val="0"/>
        <w:kinsoku/>
        <w:wordWrap/>
        <w:overflowPunct w:val="0"/>
        <w:topLinePunct w:val="0"/>
        <w:autoSpaceDE/>
        <w:autoSpaceDN/>
        <w:bidi w:val="0"/>
        <w:adjustRightInd/>
        <w:snapToGrid/>
        <w:spacing w:line="590" w:lineRule="exact"/>
        <w:textAlignment w:val="auto"/>
        <w:rPr>
          <w:rFonts w:hint="eastAsia"/>
          <w:lang w:val="en-US" w:eastAsia="zh-CN"/>
        </w:rPr>
      </w:pPr>
      <w:r>
        <w:rPr>
          <w:rFonts w:hint="eastAsia" w:ascii="黑体" w:hAnsi="黑体" w:eastAsia="黑体" w:cs="黑体"/>
          <w:lang w:val="en-US" w:eastAsia="zh-CN"/>
        </w:rPr>
        <w:t>公开方式：</w:t>
      </w:r>
      <w:r>
        <w:rPr>
          <w:rFonts w:hint="eastAsia"/>
          <w:lang w:val="en-US" w:eastAsia="zh-CN"/>
        </w:rPr>
        <w:t>依申请公开</w:t>
      </w:r>
    </w:p>
    <w:p>
      <w:pPr>
        <w:keepNext w:val="0"/>
        <w:keepLines w:val="0"/>
        <w:pageBreakBefore w:val="0"/>
        <w:widowControl w:val="0"/>
        <w:kinsoku/>
        <w:wordWrap/>
        <w:overflowPunct w:val="0"/>
        <w:topLinePunct w:val="0"/>
        <w:autoSpaceDE/>
        <w:autoSpaceDN/>
        <w:bidi w:val="0"/>
        <w:adjustRightInd/>
        <w:snapToGrid/>
        <w:spacing w:line="590" w:lineRule="exact"/>
        <w:ind w:firstLine="560" w:firstLineChars="200"/>
        <w:textAlignment w:val="auto"/>
        <w:rPr>
          <w:rFonts w:hint="default"/>
          <w:sz w:val="28"/>
          <w:szCs w:val="28"/>
          <w:lang w:val="en-US" w:eastAsia="zh-CN"/>
        </w:rPr>
      </w:pPr>
      <w:r>
        <w:rPr>
          <w:rFonts w:hint="default"/>
          <w:sz w:val="28"/>
          <w:szCs w:val="28"/>
          <w:lang w:val="en-US" w:eastAsia="zh-CN"/>
        </w:rPr>
        <w:t>发:参加会议人员单位</w:t>
      </w:r>
      <w:r>
        <w:rPr>
          <w:rFonts w:hint="eastAsia"/>
          <w:sz w:val="28"/>
          <w:szCs w:val="28"/>
          <w:lang w:val="en-US" w:eastAsia="zh-CN"/>
        </w:rPr>
        <w:t>。</w:t>
      </w: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lMWFkZDkzOWVlYTQ0MzI1YTRjNTE0MWJjOTlmOGQifQ=="/>
    <w:docVar w:name="KSO_WPS_MARK_KEY" w:val="4275442e-d01c-4f23-9fa4-521cb32ebbd6"/>
  </w:docVars>
  <w:rsids>
    <w:rsidRoot w:val="5BD74A02"/>
    <w:rsid w:val="0BCA454C"/>
    <w:rsid w:val="2B7F6903"/>
    <w:rsid w:val="34CD71AE"/>
    <w:rsid w:val="3FA01AA9"/>
    <w:rsid w:val="57380D87"/>
    <w:rsid w:val="5BD74A02"/>
    <w:rsid w:val="6D5078EA"/>
    <w:rsid w:val="72CB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仿宋_GB2312" w:eastAsia="仿宋_GB2312" w:cs="仿宋_GB2312"/>
      <w:kern w:val="2"/>
      <w:sz w:val="32"/>
      <w:szCs w:val="3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647</Words>
  <Characters>660</Characters>
  <Lines>0</Lines>
  <Paragraphs>0</Paragraphs>
  <TotalTime>44</TotalTime>
  <ScaleCrop>false</ScaleCrop>
  <LinksUpToDate>false</LinksUpToDate>
  <CharactersWithSpaces>661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2023-12-03T12:14:00Z</dcterms:created>
  <dc:creator>黎钧华</dc:creator>
  <cp:lastModifiedBy>Administrator</cp:lastModifiedBy>
  <dcterms:modified xsi:type="dcterms:W3CDTF">2024-03-07T07:27:17Z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B68FA6C2A1074AF6811AF2DA821DDDBE_11</vt:lpwstr>
  </property>
</Properties>
</file>